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F0" w:rsidRPr="001F78F0" w:rsidRDefault="001F78F0" w:rsidP="001F78F0">
      <w:pPr>
        <w:shd w:val="clear" w:color="auto" w:fill="FFFFFF"/>
        <w:spacing w:before="161" w:after="161" w:line="480" w:lineRule="atLeast"/>
        <w:jc w:val="both"/>
        <w:outlineLvl w:val="0"/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</w:pPr>
      <w:r w:rsidRPr="001F78F0"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>Mida</w:t>
      </w:r>
      <w:r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>tähendab</w:t>
      </w:r>
      <w:r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>võrdne</w:t>
      </w:r>
      <w:r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082320"/>
          <w:kern w:val="36"/>
          <w:sz w:val="40"/>
          <w:szCs w:val="40"/>
          <w:lang w:eastAsia="et-EE"/>
        </w:rPr>
        <w:t>kohtlemine?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põhimõte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kantud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ideest,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kõik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oma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õigustelt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võrdsed.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Õigus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võrdsele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kaitsele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kuulub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põhiõiguste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hulka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ning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kirjas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hyperlink r:id="rId4" w:tgtFrame="_blank" w:history="1"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Eesti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Vabariigi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põhiseaduses</w:t>
        </w:r>
      </w:hyperlink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nõue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loodud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selleks,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lõpetada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ajalooliselt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tõrjutud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elanikkonnagruppide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õiguste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piiramine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ning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tagada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kõigile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sõltumata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nende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identiteedist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päritolust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õigused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võimalused.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Põhiseaduse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§12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ütleb,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kõik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võrdsed.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Kedagi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tohi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diskrimineerida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rahvuse,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rassi,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nahavärvuse,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soo,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keele,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päritolu,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usutunnistuse,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poliitiliste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muude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veendumuste,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samuti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varalise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sotsiaalse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seisundi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muude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asjaolude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tõttu.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Loetletud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omadused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karakteristikud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diskrimineerimistunnused.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kaitstakse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just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nende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tunnuste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tõttu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diskrimineerimise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vastu,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nende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tunnustega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seoses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paljudes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ühiskondades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kõige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enam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diskrimineerimist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esinenud.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Eesti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rahvusvahelised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inimõiguslepped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määravad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põhiseadusele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lisaks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kindlaks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tunnused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omadused,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millega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seoses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tohi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panna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ebasoodsamasse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olukorda.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Mõned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nendest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tunnustest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sellised,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mida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inimene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muuta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saa,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nagu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sugu,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rahvuslik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päritolu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puue.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Mõned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sellised,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võivad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elu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jooksul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muutuda,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näiteks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veendumused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usutunnistus.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Põhiseadusele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lisaks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kõige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olulisemat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Eesti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seadust,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käsitlevad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küsimust,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soolise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võrdõiguslikkuse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ning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hyperlink r:id="rId5" w:tgtFrame="_blank" w:history="1"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Soolise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võrdõiguslikkuse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seadus</w:t>
        </w:r>
      </w:hyperlink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keelab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kohelda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halvemini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seetõttu,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naine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mees.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Samuti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keelab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panna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ebasoodsamasse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olukorda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seoses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tema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lapsevanemaks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olemise,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perekondlike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kohustuste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ning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ajateenistuse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kohustusega.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hyperlink r:id="rId6" w:tgtFrame="_blank" w:history="1"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Võrdse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kohtemise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  <w:r w:rsidRPr="001F78F0"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>seadus</w:t>
        </w:r>
        <w:r>
          <w:rPr>
            <w:rFonts w:asciiTheme="majorBidi" w:eastAsia="Times New Roman" w:hAnsiTheme="majorBidi" w:cstheme="majorBidi"/>
            <w:color w:val="0070B7"/>
            <w:sz w:val="24"/>
            <w:szCs w:val="24"/>
            <w:u w:val="single"/>
            <w:lang w:eastAsia="et-EE"/>
          </w:rPr>
          <w:t xml:space="preserve"> </w:t>
        </w:r>
      </w:hyperlink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kaitseb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eest,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tingitud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tema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rahvusest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nahavärvusest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vanusest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puudest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seksuaalsest</w:t>
      </w:r>
      <w:r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sättumusest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,</w:t>
      </w:r>
      <w:r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usutunnistusest</w:t>
      </w:r>
      <w:r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b/>
          <w:bCs/>
          <w:color w:val="202020"/>
          <w:sz w:val="24"/>
          <w:szCs w:val="24"/>
          <w:lang w:eastAsia="et-EE"/>
        </w:rPr>
        <w:t>veendumustest.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erinevate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tunnuste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puhul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erinev.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Kui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sooga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seonduvalt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diskrimineerimine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keelatud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kõigis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eluvaldkondades,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siis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näiteks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puudega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seoses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kaitseb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ebavõrdse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vaid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töövaldkonnas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kutseõppes.</w:t>
      </w:r>
    </w:p>
    <w:p w:rsidR="001F78F0" w:rsidRPr="001F78F0" w:rsidRDefault="001F78F0" w:rsidP="001F78F0">
      <w:pPr>
        <w:shd w:val="clear" w:color="auto" w:fill="FFFFFF"/>
        <w:spacing w:after="240" w:line="240" w:lineRule="auto"/>
        <w:jc w:val="both"/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</w:pP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Niisiis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on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oluline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mõista,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võrdset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kohtlemist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puudutavad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seadused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ei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kaitse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inimest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igasuguse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elus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ettetuleva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ebavõrdsuse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ja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ebaõigluse</w:t>
      </w:r>
      <w:r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 xml:space="preserve"> </w:t>
      </w:r>
      <w:r w:rsidRPr="001F78F0">
        <w:rPr>
          <w:rFonts w:asciiTheme="majorBidi" w:eastAsia="Times New Roman" w:hAnsiTheme="majorBidi" w:cstheme="majorBidi"/>
          <w:color w:val="202020"/>
          <w:sz w:val="24"/>
          <w:szCs w:val="24"/>
          <w:lang w:eastAsia="et-EE"/>
        </w:rPr>
        <w:t>eest.</w:t>
      </w:r>
    </w:p>
    <w:p w:rsidR="00684D18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3361690</wp:posOffset>
            </wp:positionH>
            <wp:positionV relativeFrom="paragraph">
              <wp:posOffset>42545</wp:posOffset>
            </wp:positionV>
            <wp:extent cx="1908810" cy="1421130"/>
            <wp:effectExtent l="19050" t="0" r="0" b="0"/>
            <wp:wrapNone/>
            <wp:docPr id="2" name="Рисунок 1" descr="http://sscw.ee/pages/media/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scw.ee/pages/media/g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42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Allikas: </w:t>
      </w:r>
      <w:hyperlink r:id="rId8" w:history="1">
        <w:r w:rsidRPr="001F78F0">
          <w:rPr>
            <w:rStyle w:val="Hyperlink"/>
            <w:rFonts w:asciiTheme="majorBidi" w:hAnsiTheme="majorBidi" w:cstheme="majorBidi"/>
            <w:sz w:val="24"/>
            <w:szCs w:val="24"/>
          </w:rPr>
          <w:t>http://www.vordoigusvolinik.ee/</w:t>
        </w:r>
      </w:hyperlink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8F0" w:rsidRP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F78F0" w:rsidRPr="001F78F0" w:rsidRDefault="001F78F0" w:rsidP="001F78F0">
      <w:pPr>
        <w:pStyle w:val="Heading1"/>
        <w:shd w:val="clear" w:color="auto" w:fill="FFFFFF"/>
        <w:spacing w:before="161" w:beforeAutospacing="0" w:after="161" w:afterAutospacing="0" w:line="480" w:lineRule="atLeast"/>
        <w:jc w:val="both"/>
        <w:rPr>
          <w:rFonts w:asciiTheme="majorBidi" w:hAnsiTheme="majorBidi" w:cstheme="majorBidi"/>
          <w:color w:val="082320"/>
          <w:sz w:val="24"/>
          <w:szCs w:val="24"/>
        </w:rPr>
      </w:pPr>
      <w:r w:rsidRPr="001F78F0">
        <w:rPr>
          <w:rFonts w:asciiTheme="majorBidi" w:hAnsiTheme="majorBidi" w:cstheme="majorBidi"/>
          <w:color w:val="082320"/>
          <w:sz w:val="40"/>
          <w:szCs w:val="40"/>
        </w:rPr>
        <w:lastRenderedPageBreak/>
        <w:t>Что</w:t>
      </w:r>
      <w:r>
        <w:rPr>
          <w:rFonts w:asciiTheme="majorBidi" w:hAnsiTheme="majorBidi" w:cstheme="majorBidi"/>
          <w:color w:val="082320"/>
          <w:sz w:val="40"/>
          <w:szCs w:val="40"/>
        </w:rPr>
        <w:t xml:space="preserve"> </w:t>
      </w:r>
      <w:r w:rsidRPr="001F78F0">
        <w:rPr>
          <w:rFonts w:asciiTheme="majorBidi" w:hAnsiTheme="majorBidi" w:cstheme="majorBidi"/>
          <w:color w:val="082320"/>
          <w:sz w:val="40"/>
          <w:szCs w:val="40"/>
        </w:rPr>
        <w:t>означает</w:t>
      </w:r>
      <w:r>
        <w:rPr>
          <w:rFonts w:asciiTheme="majorBidi" w:hAnsiTheme="majorBidi" w:cstheme="majorBidi"/>
          <w:color w:val="082320"/>
          <w:sz w:val="40"/>
          <w:szCs w:val="40"/>
        </w:rPr>
        <w:t xml:space="preserve"> </w:t>
      </w:r>
      <w:r w:rsidRPr="001F78F0">
        <w:rPr>
          <w:rFonts w:asciiTheme="majorBidi" w:hAnsiTheme="majorBidi" w:cstheme="majorBidi"/>
          <w:color w:val="082320"/>
          <w:sz w:val="40"/>
          <w:szCs w:val="40"/>
        </w:rPr>
        <w:t>равное</w:t>
      </w:r>
      <w:r>
        <w:rPr>
          <w:rFonts w:asciiTheme="majorBidi" w:hAnsiTheme="majorBidi" w:cstheme="majorBidi"/>
          <w:color w:val="082320"/>
          <w:sz w:val="40"/>
          <w:szCs w:val="40"/>
        </w:rPr>
        <w:t xml:space="preserve"> </w:t>
      </w:r>
      <w:r w:rsidRPr="001F78F0">
        <w:rPr>
          <w:rFonts w:asciiTheme="majorBidi" w:hAnsiTheme="majorBidi" w:cstheme="majorBidi"/>
          <w:color w:val="082320"/>
          <w:sz w:val="40"/>
          <w:szCs w:val="40"/>
        </w:rPr>
        <w:t>обращение?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 w:rsidRPr="001F78F0">
        <w:rPr>
          <w:rFonts w:asciiTheme="majorBidi" w:hAnsiTheme="majorBidi" w:cstheme="majorBidi"/>
          <w:color w:val="202020"/>
        </w:rPr>
        <w:t>Принцип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основан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идее,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что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все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люди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своих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правах.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равную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защиту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стороны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относится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основным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правам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прописано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hyperlink r:id="rId9" w:tgtFrame="_blank" w:history="1">
        <w:r w:rsidRPr="001F78F0">
          <w:rPr>
            <w:rStyle w:val="Hyperlink"/>
            <w:rFonts w:asciiTheme="majorBidi" w:hAnsiTheme="majorBidi" w:cstheme="majorBidi"/>
            <w:color w:val="0070B7"/>
          </w:rPr>
          <w:t>Конституции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Эстонской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Республики</w:t>
        </w:r>
      </w:hyperlink>
      <w:r w:rsidRPr="001F78F0">
        <w:rPr>
          <w:rFonts w:asciiTheme="majorBidi" w:hAnsiTheme="majorBidi" w:cstheme="majorBidi"/>
          <w:color w:val="202020"/>
        </w:rPr>
        <w:t>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Принцип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создан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для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того,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чтобы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прекратить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ограничение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исторически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подвергающихся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групп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населения,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также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целью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обеспечения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равных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возможностей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для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всех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людей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зависимости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идентичности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происхождения.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 w:rsidRPr="001F78F0">
        <w:rPr>
          <w:rFonts w:asciiTheme="majorBidi" w:hAnsiTheme="majorBidi" w:cstheme="majorBidi"/>
          <w:color w:val="202020"/>
        </w:rPr>
        <w:t>Статья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12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Конституции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ЭР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гласит,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что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все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люди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перед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законом.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Никто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может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быть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подвергнут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из-за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его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национальной,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расовой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принадлежности,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цвета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кожи,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пола,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языка,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происхождения,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вероисповедания,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политических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иных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убеждений,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также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имущественного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социального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положения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другим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обстоятельствам.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Перечисленные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качества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характеристики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являются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признаками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дискриминации.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необходимо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защитить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этим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признакам,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поскольку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именно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ними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обществе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встречается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наиболее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часто.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дополнение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конституции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имеется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целый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ряд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законов,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также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ратифицированных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Эстонской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Республикой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международных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договоренностей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правам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которые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определяют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качества,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которыми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должен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оказываться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менее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выгодном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положении.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Некоторые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из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этих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признаков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подлежат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изменению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–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например,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половая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принадлежность,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национальность,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наличие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физических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психических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недостатков.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Другие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могут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ходе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жизни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претерпевать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изменения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–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например,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убеждения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вероисповедание.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 w:rsidRPr="001F78F0">
        <w:rPr>
          <w:rFonts w:asciiTheme="majorBidi" w:hAnsiTheme="majorBidi" w:cstheme="majorBidi"/>
          <w:color w:val="202020"/>
        </w:rPr>
        <w:t>Наряду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конституцией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двумя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важнейшими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законами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ЭР,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рассматривающими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вопрос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обращения,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являются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гендерном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равноправии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обращении.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hyperlink r:id="rId10" w:tgtFrame="_blank" w:history="1">
        <w:r w:rsidRPr="001F78F0">
          <w:rPr>
            <w:rStyle w:val="Hyperlink"/>
            <w:rFonts w:asciiTheme="majorBidi" w:hAnsiTheme="majorBidi" w:cstheme="majorBidi"/>
            <w:color w:val="0070B7"/>
          </w:rPr>
          <w:t>Закон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о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гендерном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равноправии</w:t>
        </w:r>
      </w:hyperlink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запрещает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подвергать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худшему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отношению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из-за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его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(мужчина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женщина).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Также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должен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оказываться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менее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благоприятном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положении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тем,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что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является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родителем,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у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имеются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определенные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семейные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обстоятельства,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также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обязанностью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проходить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срочную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службу.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hyperlink r:id="rId11" w:tgtFrame="_blank" w:history="1">
        <w:r w:rsidRPr="001F78F0">
          <w:rPr>
            <w:rStyle w:val="Hyperlink"/>
            <w:rFonts w:asciiTheme="majorBidi" w:hAnsiTheme="majorBidi" w:cstheme="majorBidi"/>
            <w:color w:val="0070B7"/>
          </w:rPr>
          <w:t>Закон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о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равном</w:t>
        </w:r>
        <w:r>
          <w:rPr>
            <w:rStyle w:val="Hyperlink"/>
            <w:rFonts w:asciiTheme="majorBidi" w:hAnsiTheme="majorBidi" w:cstheme="majorBidi"/>
            <w:color w:val="0070B7"/>
          </w:rPr>
          <w:t xml:space="preserve"> </w:t>
        </w:r>
        <w:r w:rsidRPr="001F78F0">
          <w:rPr>
            <w:rStyle w:val="Hyperlink"/>
            <w:rFonts w:asciiTheme="majorBidi" w:hAnsiTheme="majorBidi" w:cstheme="majorBidi"/>
            <w:color w:val="0070B7"/>
          </w:rPr>
          <w:t>обращении</w:t>
        </w:r>
      </w:hyperlink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защищает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неравного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обращения,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обусловленного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его</w:t>
      </w:r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национальностью,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цветом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кожи,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возрастом,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наличием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физических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или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психических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недостатков,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сексуальной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ориентацией,</w:t>
      </w:r>
      <w:r>
        <w:rPr>
          <w:rStyle w:val="Strong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вероисповеданием</w:t>
      </w:r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Style w:val="apple-converted-space"/>
          <w:rFonts w:asciiTheme="majorBidi" w:hAnsiTheme="majorBidi" w:cstheme="majorBidi"/>
          <w:color w:val="202020"/>
        </w:rPr>
        <w:t xml:space="preserve"> </w:t>
      </w:r>
      <w:r w:rsidRPr="001F78F0">
        <w:rPr>
          <w:rStyle w:val="Strong"/>
          <w:rFonts w:asciiTheme="majorBidi" w:hAnsiTheme="majorBidi" w:cstheme="majorBidi"/>
          <w:color w:val="202020"/>
        </w:rPr>
        <w:t>убеждениями</w:t>
      </w:r>
      <w:r w:rsidRPr="001F78F0">
        <w:rPr>
          <w:rFonts w:asciiTheme="majorBidi" w:hAnsiTheme="majorBidi" w:cstheme="majorBidi"/>
          <w:color w:val="202020"/>
        </w:rPr>
        <w:t>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зависимости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конкретного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признака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принимаются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разные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меры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защите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человека.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Если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половой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принадлежности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запрещена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всех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сферах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жизни,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то,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например,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наличием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физических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или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психических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недостатков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защищает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дискриминации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только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сфере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трудовой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занятости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профессионального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обучения.</w:t>
      </w:r>
    </w:p>
    <w:p w:rsidR="001F78F0" w:rsidRPr="001F78F0" w:rsidRDefault="001F78F0" w:rsidP="001F78F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ajorBidi" w:hAnsiTheme="majorBidi" w:cstheme="majorBidi"/>
          <w:color w:val="202020"/>
        </w:rPr>
      </w:pPr>
      <w:r>
        <w:rPr>
          <w:rFonts w:asciiTheme="majorBidi" w:hAnsiTheme="majorBidi" w:cstheme="majorBidi"/>
          <w:noProof/>
          <w:color w:val="2020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3520854</wp:posOffset>
            </wp:positionH>
            <wp:positionV relativeFrom="paragraph">
              <wp:posOffset>287186</wp:posOffset>
            </wp:positionV>
            <wp:extent cx="1909141" cy="1421295"/>
            <wp:effectExtent l="19050" t="0" r="0" b="0"/>
            <wp:wrapNone/>
            <wp:docPr id="6" name="Рисунок 1" descr="http://sscw.ee/pages/media/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scw.ee/pages/media/g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141" cy="142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связи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этим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важно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понимать,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что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касающиеся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равного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обращения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законы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защищают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человека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любого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неравенства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несправедливости,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которыми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он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может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столкнуться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в</w:t>
      </w:r>
      <w:r>
        <w:rPr>
          <w:rFonts w:asciiTheme="majorBidi" w:hAnsiTheme="majorBidi" w:cstheme="majorBidi"/>
          <w:color w:val="202020"/>
        </w:rPr>
        <w:t xml:space="preserve"> </w:t>
      </w:r>
      <w:r w:rsidRPr="001F78F0">
        <w:rPr>
          <w:rFonts w:asciiTheme="majorBidi" w:hAnsiTheme="majorBidi" w:cstheme="majorBidi"/>
          <w:color w:val="202020"/>
        </w:rPr>
        <w:t>жизни.</w:t>
      </w:r>
    </w:p>
    <w:p w:rsidR="001F78F0" w:rsidRDefault="001F78F0" w:rsidP="001F78F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ru-RU" w:bidi="ar-EG"/>
        </w:rPr>
        <w:t>Источник</w:t>
      </w:r>
      <w:r>
        <w:rPr>
          <w:rFonts w:asciiTheme="majorBidi" w:hAnsiTheme="majorBidi" w:cstheme="majorBidi"/>
          <w:sz w:val="24"/>
          <w:szCs w:val="24"/>
          <w:lang w:bidi="ar-EG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1F78F0">
          <w:rPr>
            <w:rStyle w:val="Hyperlink"/>
            <w:rFonts w:asciiTheme="majorBidi" w:hAnsiTheme="majorBidi" w:cstheme="majorBidi"/>
            <w:sz w:val="24"/>
            <w:szCs w:val="24"/>
          </w:rPr>
          <w:t>http://www.vordoigusvolinik.ee/</w:t>
        </w:r>
      </w:hyperlink>
    </w:p>
    <w:sectPr w:rsidR="001F78F0" w:rsidSect="0068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savePreviewPicture/>
  <w:compat/>
  <w:rsids>
    <w:rsidRoot w:val="001F78F0"/>
    <w:rsid w:val="001F78F0"/>
    <w:rsid w:val="006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18"/>
  </w:style>
  <w:style w:type="paragraph" w:styleId="Heading1">
    <w:name w:val="heading 1"/>
    <w:basedOn w:val="Normal"/>
    <w:link w:val="Heading1Char"/>
    <w:uiPriority w:val="9"/>
    <w:qFormat/>
    <w:rsid w:val="001F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8F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1F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DefaultParagraphFont"/>
    <w:rsid w:val="001F78F0"/>
  </w:style>
  <w:style w:type="character" w:styleId="Hyperlink">
    <w:name w:val="Hyperlink"/>
    <w:basedOn w:val="DefaultParagraphFont"/>
    <w:uiPriority w:val="99"/>
    <w:unhideWhenUsed/>
    <w:rsid w:val="001F78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F78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doigusvolinik.e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vordoigusvolinik.e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iigiteataja.ee/akt/13096445?leiaKehtiv" TargetMode="External"/><Relationship Id="rId11" Type="http://schemas.openxmlformats.org/officeDocument/2006/relationships/hyperlink" Target="http://www.estlex.com/tolked/97261.pdf" TargetMode="External"/><Relationship Id="rId5" Type="http://schemas.openxmlformats.org/officeDocument/2006/relationships/hyperlink" Target="https://www.riigiteataja.ee/akt/738642?leiaKehtiv" TargetMode="External"/><Relationship Id="rId10" Type="http://schemas.openxmlformats.org/officeDocument/2006/relationships/hyperlink" Target="https://www.riigiteataja.ee/akt/738642?leiaKehtiv" TargetMode="External"/><Relationship Id="rId4" Type="http://schemas.openxmlformats.org/officeDocument/2006/relationships/hyperlink" Target="https://www.riigiteataja.ee/akt/633949?leiaKehtiv" TargetMode="External"/><Relationship Id="rId9" Type="http://schemas.openxmlformats.org/officeDocument/2006/relationships/hyperlink" Target="https://www.riigiteataja.ee/akt_seosed.html?id=127042011002&amp;vsty=TV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858</Words>
  <Characters>4983</Characters>
  <Application>Microsoft Office Word</Application>
  <DocSecurity>0</DocSecurity>
  <Lines>41</Lines>
  <Paragraphs>11</Paragraphs>
  <ScaleCrop>false</ScaleCrop>
  <Company>Hewlett-Packard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2017-05-18T14:09:00Z</cp:lastPrinted>
  <dcterms:created xsi:type="dcterms:W3CDTF">2017-05-18T14:00:00Z</dcterms:created>
  <dcterms:modified xsi:type="dcterms:W3CDTF">2017-05-18T14:10:00Z</dcterms:modified>
</cp:coreProperties>
</file>